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6747B0">
        <w:rPr>
          <w:b/>
          <w:sz w:val="28"/>
          <w:szCs w:val="28"/>
        </w:rPr>
        <w:t xml:space="preserve"> 1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6747B0">
        <w:rPr>
          <w:b/>
          <w:bCs/>
          <w:sz w:val="28"/>
          <w:szCs w:val="28"/>
        </w:rPr>
        <w:t>10.01.2023</w:t>
      </w:r>
    </w:p>
    <w:p w:rsidR="00367DFB" w:rsidRPr="004B28A2" w:rsidRDefault="00367DFB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6747B0">
        <w:t>10.01.2023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6747B0">
        <w:rPr>
          <w:b w:val="0"/>
          <w:u w:val="none"/>
        </w:rPr>
        <w:t>Zasedací místnost Magistrátu města Karlovy Vary, Moskevská 2035/21, 5. patro</w:t>
      </w:r>
    </w:p>
    <w:p w:rsidR="000E6FB7" w:rsidRPr="00B87BFA" w:rsidRDefault="000E6FB7" w:rsidP="00367DF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6747B0">
        <w:rPr>
          <w:b w:val="0"/>
          <w:u w:val="none"/>
        </w:rPr>
        <w:t> 16:40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6747B0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proofErr w:type="spellStart"/>
      <w:r w:rsidR="000D3F73">
        <w:rPr>
          <w:b w:val="0"/>
          <w:u w:val="none"/>
        </w:rPr>
        <w:t>Dott</w:t>
      </w:r>
      <w:proofErr w:type="spellEnd"/>
      <w:r w:rsidR="000D3F73">
        <w:rPr>
          <w:b w:val="0"/>
          <w:u w:val="none"/>
        </w:rPr>
        <w:t xml:space="preserve">. Mag. Radka </w:t>
      </w:r>
      <w:proofErr w:type="spellStart"/>
      <w:r w:rsidR="000D3F73">
        <w:rPr>
          <w:b w:val="0"/>
          <w:u w:val="none"/>
        </w:rPr>
        <w:t>Murasová</w:t>
      </w:r>
      <w:proofErr w:type="spellEnd"/>
      <w:r w:rsidR="005C54EF">
        <w:rPr>
          <w:b w:val="0"/>
          <w:u w:val="none"/>
        </w:rPr>
        <w:t xml:space="preserve">, </w:t>
      </w:r>
      <w:r w:rsidR="0006173B">
        <w:rPr>
          <w:b w:val="0"/>
          <w:u w:val="none"/>
        </w:rPr>
        <w:t xml:space="preserve">Zdeňka </w:t>
      </w:r>
      <w:proofErr w:type="spellStart"/>
      <w:r w:rsidR="0006173B">
        <w:rPr>
          <w:b w:val="0"/>
          <w:u w:val="none"/>
        </w:rPr>
        <w:t>Batíková</w:t>
      </w:r>
      <w:proofErr w:type="spellEnd"/>
      <w:r w:rsidR="005C54EF">
        <w:rPr>
          <w:b w:val="0"/>
          <w:u w:val="none"/>
        </w:rPr>
        <w:t xml:space="preserve">, </w:t>
      </w:r>
    </w:p>
    <w:p w:rsidR="006747B0" w:rsidRDefault="006747B0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b w:val="0"/>
          <w:u w:val="none"/>
        </w:rPr>
        <w:t xml:space="preserve">                    </w:t>
      </w:r>
      <w:r>
        <w:rPr>
          <w:b w:val="0"/>
          <w:u w:val="none"/>
        </w:rPr>
        <w:tab/>
        <w:t xml:space="preserve">Václav Skuhravý, </w:t>
      </w:r>
      <w:r w:rsidR="005C54EF">
        <w:rPr>
          <w:b w:val="0"/>
          <w:u w:val="none"/>
        </w:rPr>
        <w:t xml:space="preserve">Petr </w:t>
      </w:r>
      <w:proofErr w:type="spellStart"/>
      <w:r w:rsidR="005C54EF">
        <w:rPr>
          <w:b w:val="0"/>
          <w:u w:val="none"/>
        </w:rPr>
        <w:t>Nimrichter</w:t>
      </w:r>
      <w:proofErr w:type="spellEnd"/>
      <w:r w:rsidR="005C54EF">
        <w:rPr>
          <w:b w:val="0"/>
          <w:u w:val="none"/>
        </w:rPr>
        <w:t>, Ing. Tomáš Matějček</w:t>
      </w:r>
    </w:p>
    <w:p w:rsidR="00187682" w:rsidRPr="00F8379A" w:rsidRDefault="00187682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6747B0" w:rsidRDefault="0034472F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6747B0">
        <w:rPr>
          <w:b w:val="0"/>
          <w:u w:val="none"/>
        </w:rPr>
        <w:t>Mgr. Jiří Frühauf</w:t>
      </w:r>
    </w:p>
    <w:p w:rsidR="004114F9" w:rsidRPr="00F8379A" w:rsidRDefault="0034472F" w:rsidP="00367DFB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367DFB">
      <w:pPr>
        <w:pStyle w:val="Zkladntext"/>
        <w:ind w:left="1276" w:right="-284" w:hanging="1702"/>
        <w:rPr>
          <w:u w:val="none"/>
        </w:rPr>
      </w:pPr>
    </w:p>
    <w:p w:rsidR="006747B0" w:rsidRDefault="00E73151" w:rsidP="004B28A2">
      <w:pPr>
        <w:pStyle w:val="Zkladntext"/>
        <w:ind w:left="1276" w:right="-284" w:hanging="1702"/>
        <w:jc w:val="both"/>
        <w:rPr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6747B0">
        <w:rPr>
          <w:b w:val="0"/>
          <w:u w:val="none"/>
        </w:rPr>
        <w:t xml:space="preserve">Jitka Peřina – </w:t>
      </w:r>
      <w:r w:rsidR="006747B0" w:rsidRPr="0072247A">
        <w:rPr>
          <w:b w:val="0"/>
          <w:u w:val="none"/>
        </w:rPr>
        <w:t>místopředsedkyně výboru Sportovní unie Karlovarska z.s.</w:t>
      </w:r>
      <w:r w:rsidR="006747B0" w:rsidRPr="0072247A">
        <w:rPr>
          <w:b w:val="0"/>
          <w:u w:val="none"/>
        </w:rPr>
        <w:tab/>
      </w:r>
    </w:p>
    <w:p w:rsidR="006747B0" w:rsidRDefault="006747B0" w:rsidP="004B28A2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>Martin Dušek – náměstek primátorky</w:t>
      </w:r>
    </w:p>
    <w:p w:rsidR="000A7F74" w:rsidRDefault="0006173B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6747B0">
        <w:rPr>
          <w:b w:val="0"/>
          <w:u w:val="none"/>
        </w:rPr>
        <w:t>Ing. Bc. František Škaryd – vedoucí odboru kultury, školství a tělovýchovy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</w:p>
    <w:p w:rsidR="000A7F74" w:rsidRDefault="000A7F74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3358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</w:p>
    <w:p w:rsidR="0033358B" w:rsidRDefault="0033358B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4B28A2" w:rsidRPr="00367DF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06173B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dotace na rok 2023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72247A">
        <w:t xml:space="preserve">t a přivítal přítomné hosty.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0A7F74" w:rsidRDefault="006F6D0B" w:rsidP="006747B0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  <w:t xml:space="preserve">Mgr. Viktor Linhart, </w:t>
      </w:r>
      <w:proofErr w:type="spellStart"/>
      <w:r w:rsidR="006747B0">
        <w:rPr>
          <w:b w:val="0"/>
          <w:u w:val="none"/>
        </w:rPr>
        <w:t>Dott</w:t>
      </w:r>
      <w:proofErr w:type="spellEnd"/>
      <w:r w:rsidR="006747B0">
        <w:rPr>
          <w:b w:val="0"/>
          <w:u w:val="none"/>
        </w:rPr>
        <w:t xml:space="preserve">. Mag. Radka </w:t>
      </w:r>
      <w:proofErr w:type="spellStart"/>
      <w:r w:rsidR="006747B0">
        <w:rPr>
          <w:b w:val="0"/>
          <w:u w:val="none"/>
        </w:rPr>
        <w:t>Murasová</w:t>
      </w:r>
      <w:proofErr w:type="spellEnd"/>
      <w:r w:rsidR="006747B0">
        <w:rPr>
          <w:b w:val="0"/>
          <w:u w:val="none"/>
        </w:rPr>
        <w:t xml:space="preserve">, Zdeňka </w:t>
      </w:r>
      <w:proofErr w:type="spellStart"/>
      <w:r w:rsidR="006747B0">
        <w:rPr>
          <w:b w:val="0"/>
          <w:u w:val="none"/>
        </w:rPr>
        <w:t>Batíková</w:t>
      </w:r>
      <w:proofErr w:type="spellEnd"/>
      <w:r w:rsidR="006747B0">
        <w:rPr>
          <w:b w:val="0"/>
          <w:u w:val="none"/>
        </w:rPr>
        <w:t xml:space="preserve">, Václav Skuhravý, </w:t>
      </w:r>
    </w:p>
    <w:p w:rsidR="006747B0" w:rsidRDefault="000A7F74" w:rsidP="006747B0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ab/>
      </w:r>
      <w:r w:rsidR="006747B0">
        <w:rPr>
          <w:b w:val="0"/>
          <w:u w:val="none"/>
        </w:rPr>
        <w:t xml:space="preserve">Petr </w:t>
      </w:r>
      <w:proofErr w:type="spellStart"/>
      <w:r w:rsidR="006747B0">
        <w:rPr>
          <w:b w:val="0"/>
          <w:u w:val="none"/>
        </w:rPr>
        <w:t>Nimrichter</w:t>
      </w:r>
      <w:proofErr w:type="spellEnd"/>
      <w:r w:rsidR="006747B0">
        <w:rPr>
          <w:b w:val="0"/>
          <w:u w:val="none"/>
        </w:rPr>
        <w:t>, Ing. Tomáš Matějček</w:t>
      </w:r>
    </w:p>
    <w:p w:rsidR="006F6D0B" w:rsidRPr="00745CA3" w:rsidRDefault="006F6D0B" w:rsidP="006747B0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="006747B0">
        <w:rPr>
          <w:u w:val="none"/>
        </w:rPr>
        <w:t xml:space="preserve"> </w:t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747B0">
        <w:rPr>
          <w:b/>
          <w:bCs/>
        </w:rPr>
        <w:t xml:space="preserve"> 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3358B" w:rsidRDefault="0033358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3358B" w:rsidRDefault="0033358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Pr="004464FC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367DFB" w:rsidRDefault="003C5303" w:rsidP="00367DFB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="00367DFB">
        <w:rPr>
          <w:b w:val="0"/>
          <w:u w:val="none"/>
        </w:rPr>
        <w:t xml:space="preserve">Mgr. Viktor Linhart, Zdeňka </w:t>
      </w:r>
      <w:proofErr w:type="spellStart"/>
      <w:r w:rsidR="00367DFB">
        <w:rPr>
          <w:b w:val="0"/>
          <w:u w:val="none"/>
        </w:rPr>
        <w:t>Batíková</w:t>
      </w:r>
      <w:proofErr w:type="spellEnd"/>
      <w:r w:rsidR="00367DFB">
        <w:rPr>
          <w:b w:val="0"/>
          <w:u w:val="none"/>
        </w:rPr>
        <w:t>, Václav Skuhravý, Ing. Tomáš Matějček</w:t>
      </w:r>
    </w:p>
    <w:p w:rsidR="00367DFB" w:rsidRDefault="003C5303" w:rsidP="00367DFB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3C5303" w:rsidRDefault="003C5303" w:rsidP="00367DFB">
      <w:pPr>
        <w:pStyle w:val="Zkladntext"/>
        <w:ind w:left="851" w:right="-284" w:hanging="1277"/>
        <w:rPr>
          <w:b w:val="0"/>
          <w:u w:val="none"/>
        </w:rPr>
      </w:pPr>
      <w:r w:rsidRPr="00367DFB">
        <w:rPr>
          <w:u w:val="none"/>
        </w:rPr>
        <w:t xml:space="preserve">zdržel se:  </w:t>
      </w:r>
      <w:proofErr w:type="spellStart"/>
      <w:r w:rsidR="00367DFB" w:rsidRPr="00367DFB">
        <w:rPr>
          <w:b w:val="0"/>
          <w:u w:val="none"/>
        </w:rPr>
        <w:t>D</w:t>
      </w:r>
      <w:r w:rsidR="00367DFB">
        <w:rPr>
          <w:b w:val="0"/>
          <w:u w:val="none"/>
        </w:rPr>
        <w:t>ott</w:t>
      </w:r>
      <w:proofErr w:type="spellEnd"/>
      <w:r w:rsidR="00367DFB">
        <w:rPr>
          <w:b w:val="0"/>
          <w:u w:val="none"/>
        </w:rPr>
        <w:t xml:space="preserve">. Mag. Radka </w:t>
      </w:r>
      <w:proofErr w:type="spellStart"/>
      <w:r w:rsidR="00367DFB">
        <w:rPr>
          <w:b w:val="0"/>
          <w:u w:val="none"/>
        </w:rPr>
        <w:t>Murasová</w:t>
      </w:r>
      <w:proofErr w:type="spellEnd"/>
      <w:r w:rsidR="00367DFB">
        <w:rPr>
          <w:b w:val="0"/>
          <w:u w:val="none"/>
        </w:rPr>
        <w:t xml:space="preserve">, Petr </w:t>
      </w:r>
      <w:proofErr w:type="spellStart"/>
      <w:r w:rsidR="00367DFB">
        <w:rPr>
          <w:b w:val="0"/>
          <w:u w:val="none"/>
        </w:rPr>
        <w:t>Nimrichter</w:t>
      </w:r>
      <w:proofErr w:type="spellEnd"/>
    </w:p>
    <w:p w:rsidR="000A7F74" w:rsidRPr="00367DFB" w:rsidRDefault="000A7F74" w:rsidP="00367DFB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5303" w:rsidRDefault="003C5303" w:rsidP="003C5303">
      <w:pPr>
        <w:jc w:val="both"/>
        <w:rPr>
          <w:b/>
          <w:u w:val="single"/>
        </w:rPr>
      </w:pPr>
    </w:p>
    <w:p w:rsidR="000A7F74" w:rsidRDefault="000A7F74" w:rsidP="000A7F74">
      <w:pPr>
        <w:autoSpaceDE w:val="0"/>
        <w:autoSpaceDN w:val="0"/>
        <w:adjustRightInd w:val="0"/>
        <w:ind w:left="-426" w:right="-428"/>
        <w:jc w:val="both"/>
      </w:pPr>
      <w:r>
        <w:t>Členové komise se začali podrobně seznamovat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0A7F74" w:rsidRDefault="000A7F74" w:rsidP="000A7F74">
      <w:pPr>
        <w:pStyle w:val="Odstavecseseznamem"/>
        <w:ind w:left="-426" w:right="-569"/>
        <w:jc w:val="both"/>
      </w:pPr>
    </w:p>
    <w:p w:rsidR="000A7F74" w:rsidRPr="00DA5E36" w:rsidRDefault="000A7F74" w:rsidP="000A7F74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3C5303" w:rsidRPr="003C5303" w:rsidRDefault="003C5303" w:rsidP="003C5303">
      <w:pPr>
        <w:jc w:val="both"/>
        <w:rPr>
          <w:b/>
          <w:u w:val="single"/>
        </w:rPr>
      </w:pPr>
    </w:p>
    <w:p w:rsidR="00634CAB" w:rsidRPr="002879C9" w:rsidRDefault="00634CAB" w:rsidP="004D2C9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7621D9" w:rsidRDefault="000A7F74" w:rsidP="004D2C93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Různé</w:t>
      </w:r>
    </w:p>
    <w:p w:rsidR="000A7F74" w:rsidRDefault="000A7F74" w:rsidP="000A7F74">
      <w:pPr>
        <w:pStyle w:val="Odstavecseseznamem"/>
        <w:ind w:left="-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F74" w:rsidRDefault="000A7F74" w:rsidP="00141335">
      <w:pPr>
        <w:pStyle w:val="Odstavecseseznamem"/>
        <w:numPr>
          <w:ilvl w:val="0"/>
          <w:numId w:val="19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0A7F74">
        <w:rPr>
          <w:rFonts w:ascii="Times New Roman" w:hAnsi="Times New Roman"/>
          <w:sz w:val="24"/>
          <w:szCs w:val="24"/>
        </w:rPr>
        <w:t>Jitka Peřina</w:t>
      </w:r>
      <w:r>
        <w:rPr>
          <w:rFonts w:ascii="Times New Roman" w:hAnsi="Times New Roman"/>
          <w:sz w:val="24"/>
          <w:szCs w:val="24"/>
        </w:rPr>
        <w:t xml:space="preserve"> informovala členy komise o přípravách ankety „nejúspěšnější sportovec města a okresu za rok 2022“. Nominační formuláře jsou nyní k dispozici na webu Sportovní unie Karlovarska a také na webu města Karlovy Vary. Zároveň byly tyto formuláře rozeslány mezi jednotlivé kluby. Uzavírka nominací je k 31.01.2023. Uvedla, že slavností vyhlášení této ankety je naplánováno na 13.04.2023 a bude probíh</w:t>
      </w:r>
      <w:r w:rsidR="0033358B">
        <w:rPr>
          <w:rFonts w:ascii="Times New Roman" w:hAnsi="Times New Roman"/>
          <w:sz w:val="24"/>
          <w:szCs w:val="24"/>
        </w:rPr>
        <w:t>at stejně jako v loňském roce v</w:t>
      </w:r>
      <w:r>
        <w:rPr>
          <w:rFonts w:ascii="Times New Roman" w:hAnsi="Times New Roman"/>
          <w:sz w:val="24"/>
          <w:szCs w:val="24"/>
        </w:rPr>
        <w:t xml:space="preserve"> slavnostním sále  hotelu </w:t>
      </w:r>
      <w:proofErr w:type="spellStart"/>
      <w:r>
        <w:rPr>
          <w:rFonts w:ascii="Times New Roman" w:hAnsi="Times New Roman"/>
          <w:sz w:val="24"/>
          <w:szCs w:val="24"/>
        </w:rPr>
        <w:t>Richmond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B724E">
        <w:rPr>
          <w:rFonts w:ascii="Times New Roman" w:hAnsi="Times New Roman"/>
          <w:sz w:val="24"/>
          <w:szCs w:val="24"/>
        </w:rPr>
        <w:t xml:space="preserve"> O dalších přípravách bude členy komise nadále informovat.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724E" w:rsidRDefault="002B724E" w:rsidP="00141335">
      <w:pPr>
        <w:pStyle w:val="Odstavecseseznamem"/>
        <w:numPr>
          <w:ilvl w:val="0"/>
          <w:numId w:val="19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Jitka Peřina informovala členy komise o současné situaci na atletickém stadionu Start, kde dle prvotních informací měly</w:t>
      </w:r>
      <w:r w:rsidR="0033358B">
        <w:rPr>
          <w:rFonts w:ascii="Times New Roman" w:hAnsi="Times New Roman"/>
          <w:sz w:val="24"/>
          <w:szCs w:val="24"/>
        </w:rPr>
        <w:t xml:space="preserve"> již od října 2022</w:t>
      </w:r>
      <w:r>
        <w:rPr>
          <w:rFonts w:ascii="Times New Roman" w:hAnsi="Times New Roman"/>
          <w:sz w:val="24"/>
          <w:szCs w:val="24"/>
        </w:rPr>
        <w:t xml:space="preserve"> probíhat stavební úpravy. </w:t>
      </w:r>
      <w:r w:rsidR="0033358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 dnešnímu dni se v tomto areálu nic neděje. Karlovarští sportovci, zejména pak atleti museli tento areál opustit již v říjnu, přičemž té doby nemají kde řádně sportovat a trénovat, neboť v Karlových Varech není </w:t>
      </w:r>
      <w:r w:rsidR="0033358B">
        <w:rPr>
          <w:rFonts w:ascii="Times New Roman" w:hAnsi="Times New Roman"/>
          <w:sz w:val="24"/>
          <w:szCs w:val="24"/>
        </w:rPr>
        <w:t>žádný jiný obdobný a</w:t>
      </w:r>
      <w:r>
        <w:rPr>
          <w:rFonts w:ascii="Times New Roman" w:hAnsi="Times New Roman"/>
          <w:sz w:val="24"/>
          <w:szCs w:val="24"/>
        </w:rPr>
        <w:t>reál. S ohledem na výše uvedené se tedy dotazuje</w:t>
      </w:r>
      <w:r w:rsidR="005C7E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proč musí být areál pro sportovce uzavřen, když zde žádné stavební práce neprobíhají? Není škoda, že sportovci těžce shánějí sportoviště, zatímco stadion se zatím stále neupravuje a mohl být tedy jednotlivými kluby nadále využíván, obzvlášť když </w:t>
      </w:r>
      <w:r w:rsidR="0033358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zimní počasí v letošním roce umožňuje?</w:t>
      </w:r>
    </w:p>
    <w:p w:rsidR="00500DE3" w:rsidRDefault="00500DE3" w:rsidP="00141335">
      <w:pPr>
        <w:pStyle w:val="Odstavecseseznamem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uvedla, že areál není </w:t>
      </w:r>
      <w:r w:rsidR="005C7EEE">
        <w:rPr>
          <w:rFonts w:ascii="Times New Roman" w:hAnsi="Times New Roman"/>
          <w:sz w:val="24"/>
          <w:szCs w:val="24"/>
        </w:rPr>
        <w:t>uzamčen, přestože je zde již uložen materiál na zhotovení doskočiště v hodnot</w:t>
      </w:r>
      <w:r w:rsidR="00141335">
        <w:rPr>
          <w:rFonts w:ascii="Times New Roman" w:hAnsi="Times New Roman"/>
          <w:sz w:val="24"/>
          <w:szCs w:val="24"/>
        </w:rPr>
        <w:t>ě cca 750 tis. Kč. Když se je</w:t>
      </w:r>
      <w:r w:rsidR="005C7EEE">
        <w:rPr>
          <w:rFonts w:ascii="Times New Roman" w:hAnsi="Times New Roman"/>
          <w:sz w:val="24"/>
          <w:szCs w:val="24"/>
        </w:rPr>
        <w:t xml:space="preserve">dná se o drahý prvek, tak proč není uložen na bezpečnějším místě? </w:t>
      </w:r>
    </w:p>
    <w:p w:rsidR="002B724E" w:rsidRDefault="002B724E" w:rsidP="002B724E">
      <w:pPr>
        <w:pStyle w:val="Odstavecseseznamem"/>
        <w:ind w:left="294"/>
        <w:jc w:val="both"/>
        <w:rPr>
          <w:rFonts w:ascii="Times New Roman" w:hAnsi="Times New Roman"/>
          <w:sz w:val="24"/>
          <w:szCs w:val="24"/>
        </w:rPr>
      </w:pPr>
    </w:p>
    <w:p w:rsidR="005C7EEE" w:rsidRDefault="00500DE3" w:rsidP="00141335">
      <w:pPr>
        <w:pStyle w:val="Odstavecseseznamem"/>
        <w:numPr>
          <w:ilvl w:val="0"/>
          <w:numId w:val="20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C7EEE">
        <w:rPr>
          <w:rFonts w:ascii="Times New Roman" w:hAnsi="Times New Roman"/>
          <w:sz w:val="24"/>
          <w:szCs w:val="24"/>
        </w:rPr>
        <w:t> problematice rekonstrukce tohoto areálu</w:t>
      </w:r>
      <w:r w:rsidR="002B724E">
        <w:rPr>
          <w:rFonts w:ascii="Times New Roman" w:hAnsi="Times New Roman"/>
          <w:sz w:val="24"/>
          <w:szCs w:val="24"/>
        </w:rPr>
        <w:t xml:space="preserve"> sdělil Martin Dušek, že vzhledem k tomu, že rekonstrukce sportovního areálu spadá do kompetencí odboru majetku</w:t>
      </w:r>
      <w:r w:rsidR="005C7EEE">
        <w:rPr>
          <w:rFonts w:ascii="Times New Roman" w:hAnsi="Times New Roman"/>
          <w:sz w:val="24"/>
          <w:szCs w:val="24"/>
        </w:rPr>
        <w:t xml:space="preserve"> a odboru rozvoje a investic</w:t>
      </w:r>
      <w:r w:rsidR="002B72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požádá </w:t>
      </w:r>
      <w:r w:rsidR="005C7EEE">
        <w:rPr>
          <w:rFonts w:ascii="Times New Roman" w:hAnsi="Times New Roman"/>
          <w:sz w:val="24"/>
          <w:szCs w:val="24"/>
        </w:rPr>
        <w:t>tyto odbory</w:t>
      </w:r>
      <w:r>
        <w:rPr>
          <w:rFonts w:ascii="Times New Roman" w:hAnsi="Times New Roman"/>
          <w:sz w:val="24"/>
          <w:szCs w:val="24"/>
        </w:rPr>
        <w:t xml:space="preserve">, případně </w:t>
      </w:r>
      <w:r w:rsidR="005C7EEE">
        <w:rPr>
          <w:rFonts w:ascii="Times New Roman" w:hAnsi="Times New Roman"/>
          <w:sz w:val="24"/>
          <w:szCs w:val="24"/>
        </w:rPr>
        <w:t>příslušné náměstky</w:t>
      </w:r>
      <w:r w:rsidR="0033358B">
        <w:rPr>
          <w:rFonts w:ascii="Times New Roman" w:hAnsi="Times New Roman"/>
          <w:sz w:val="24"/>
          <w:szCs w:val="24"/>
        </w:rPr>
        <w:t xml:space="preserve"> o podání informací. Uvedl</w:t>
      </w:r>
      <w:r>
        <w:rPr>
          <w:rFonts w:ascii="Times New Roman" w:hAnsi="Times New Roman"/>
          <w:sz w:val="24"/>
          <w:szCs w:val="24"/>
        </w:rPr>
        <w:t>, že dle jeho dostupných informací je rekonstrukce tohoto areálu vázaná na dotaci z Národní sportovní agentury</w:t>
      </w:r>
      <w:r w:rsidR="0033358B">
        <w:rPr>
          <w:rFonts w:ascii="Times New Roman" w:hAnsi="Times New Roman"/>
          <w:sz w:val="24"/>
          <w:szCs w:val="24"/>
        </w:rPr>
        <w:t xml:space="preserve"> (dále jen „NSA“)</w:t>
      </w:r>
      <w:r>
        <w:rPr>
          <w:rFonts w:ascii="Times New Roman" w:hAnsi="Times New Roman"/>
          <w:sz w:val="24"/>
          <w:szCs w:val="24"/>
        </w:rPr>
        <w:t xml:space="preserve">, která měla být schválena v měsíci říjnu. </w:t>
      </w:r>
      <w:r w:rsidR="005C7EEE">
        <w:rPr>
          <w:rFonts w:ascii="Times New Roman" w:hAnsi="Times New Roman"/>
          <w:sz w:val="24"/>
          <w:szCs w:val="24"/>
        </w:rPr>
        <w:t>Zhotovitel byl již na zák</w:t>
      </w:r>
      <w:r w:rsidR="0033358B">
        <w:rPr>
          <w:rFonts w:ascii="Times New Roman" w:hAnsi="Times New Roman"/>
          <w:sz w:val="24"/>
          <w:szCs w:val="24"/>
        </w:rPr>
        <w:t xml:space="preserve">ladě výběrového řízení vybrán, smlouva </w:t>
      </w:r>
      <w:r w:rsidR="005C7EEE">
        <w:rPr>
          <w:rFonts w:ascii="Times New Roman" w:hAnsi="Times New Roman"/>
          <w:sz w:val="24"/>
          <w:szCs w:val="24"/>
        </w:rPr>
        <w:t xml:space="preserve">uzavřena a areál byl na základě žádosti </w:t>
      </w:r>
      <w:r w:rsidR="0033358B">
        <w:rPr>
          <w:rFonts w:ascii="Times New Roman" w:hAnsi="Times New Roman"/>
          <w:sz w:val="24"/>
          <w:szCs w:val="24"/>
        </w:rPr>
        <w:t xml:space="preserve">zhotovitele </w:t>
      </w:r>
      <w:r w:rsidR="005C7EEE">
        <w:rPr>
          <w:rFonts w:ascii="Times New Roman" w:hAnsi="Times New Roman"/>
          <w:sz w:val="24"/>
          <w:szCs w:val="24"/>
        </w:rPr>
        <w:t>předán v měsíci říjnu, aby mohl zahájit práce, hned jakmile bude schválena dotace</w:t>
      </w:r>
      <w:r w:rsidR="0033358B">
        <w:rPr>
          <w:rFonts w:ascii="Times New Roman" w:hAnsi="Times New Roman"/>
          <w:sz w:val="24"/>
          <w:szCs w:val="24"/>
        </w:rPr>
        <w:t xml:space="preserve">. NSA dotaci </w:t>
      </w:r>
      <w:r w:rsidR="005C7EEE">
        <w:rPr>
          <w:rFonts w:ascii="Times New Roman" w:hAnsi="Times New Roman"/>
          <w:sz w:val="24"/>
          <w:szCs w:val="24"/>
        </w:rPr>
        <w:t>ještě ani ke konci roku dotaci neschválila</w:t>
      </w:r>
      <w:r w:rsidR="00141335">
        <w:rPr>
          <w:rFonts w:ascii="Times New Roman" w:hAnsi="Times New Roman"/>
          <w:sz w:val="24"/>
          <w:szCs w:val="24"/>
        </w:rPr>
        <w:t xml:space="preserve"> a proto </w:t>
      </w:r>
      <w:r w:rsidR="0033358B">
        <w:rPr>
          <w:rFonts w:ascii="Times New Roman" w:hAnsi="Times New Roman"/>
          <w:sz w:val="24"/>
          <w:szCs w:val="24"/>
        </w:rPr>
        <w:t xml:space="preserve">k dnešnímu dni </w:t>
      </w:r>
      <w:r w:rsidR="00141335">
        <w:rPr>
          <w:rFonts w:ascii="Times New Roman" w:hAnsi="Times New Roman"/>
          <w:sz w:val="24"/>
          <w:szCs w:val="24"/>
        </w:rPr>
        <w:t>nebyly zahájeny žádné stavební práce</w:t>
      </w:r>
      <w:r w:rsidR="005C7EEE">
        <w:rPr>
          <w:rFonts w:ascii="Times New Roman" w:hAnsi="Times New Roman"/>
          <w:sz w:val="24"/>
          <w:szCs w:val="24"/>
        </w:rPr>
        <w:t xml:space="preserve">. Bohužel tuto situaci nikdo nemohl předvídat. </w:t>
      </w:r>
    </w:p>
    <w:p w:rsidR="00141335" w:rsidRDefault="00141335" w:rsidP="00141335">
      <w:pPr>
        <w:jc w:val="both"/>
      </w:pPr>
    </w:p>
    <w:p w:rsidR="00141335" w:rsidRDefault="00141335" w:rsidP="00141335">
      <w:pPr>
        <w:jc w:val="both"/>
      </w:pPr>
    </w:p>
    <w:p w:rsidR="00141335" w:rsidRPr="00141335" w:rsidRDefault="00141335" w:rsidP="00141335">
      <w:pPr>
        <w:jc w:val="both"/>
      </w:pPr>
    </w:p>
    <w:p w:rsidR="009D795B" w:rsidRDefault="00141335" w:rsidP="009D795B">
      <w:pPr>
        <w:pStyle w:val="Odstavecseseznamem"/>
        <w:numPr>
          <w:ilvl w:val="0"/>
          <w:numId w:val="20"/>
        </w:num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Dušek a Viktor Linhart společně </w:t>
      </w:r>
      <w:r w:rsidR="005C7EEE">
        <w:rPr>
          <w:rFonts w:ascii="Times New Roman" w:hAnsi="Times New Roman"/>
          <w:sz w:val="24"/>
          <w:szCs w:val="24"/>
        </w:rPr>
        <w:t xml:space="preserve">Jitce Peřině </w:t>
      </w:r>
      <w:r>
        <w:rPr>
          <w:rFonts w:ascii="Times New Roman" w:hAnsi="Times New Roman"/>
          <w:sz w:val="24"/>
          <w:szCs w:val="24"/>
        </w:rPr>
        <w:t>poděkovali</w:t>
      </w:r>
      <w:r w:rsidR="005C7EEE">
        <w:rPr>
          <w:rFonts w:ascii="Times New Roman" w:hAnsi="Times New Roman"/>
          <w:sz w:val="24"/>
          <w:szCs w:val="24"/>
        </w:rPr>
        <w:t xml:space="preserve"> za podnět, který se týká materiálu na vybudování doskočiště. Na základě tohoto podnětu byla zahájena jednání a doskočiště bude uloženo v areálu KV </w:t>
      </w:r>
      <w:proofErr w:type="spellStart"/>
      <w:r w:rsidR="005C7EEE">
        <w:rPr>
          <w:rFonts w:ascii="Times New Roman" w:hAnsi="Times New Roman"/>
          <w:sz w:val="24"/>
          <w:szCs w:val="24"/>
        </w:rPr>
        <w:t>Areny</w:t>
      </w:r>
      <w:proofErr w:type="spellEnd"/>
      <w:r w:rsidR="005C7EEE">
        <w:rPr>
          <w:rFonts w:ascii="Times New Roman" w:hAnsi="Times New Roman"/>
          <w:sz w:val="24"/>
          <w:szCs w:val="24"/>
        </w:rPr>
        <w:t xml:space="preserve">. </w:t>
      </w:r>
      <w:r w:rsidR="00500DE3">
        <w:rPr>
          <w:rFonts w:ascii="Times New Roman" w:hAnsi="Times New Roman"/>
          <w:sz w:val="24"/>
          <w:szCs w:val="24"/>
        </w:rPr>
        <w:t xml:space="preserve"> </w:t>
      </w:r>
    </w:p>
    <w:p w:rsid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9D795B" w:rsidRPr="009D795B" w:rsidRDefault="009D795B" w:rsidP="009D795B">
      <w:pPr>
        <w:pStyle w:val="Odstavecseseznamem"/>
        <w:numPr>
          <w:ilvl w:val="0"/>
          <w:numId w:val="2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D795B">
        <w:rPr>
          <w:rFonts w:ascii="Times New Roman" w:hAnsi="Times New Roman"/>
          <w:bCs/>
          <w:sz w:val="24"/>
          <w:szCs w:val="24"/>
        </w:rPr>
        <w:t xml:space="preserve">Václav Skuhravý byl seznámen </w:t>
      </w:r>
      <w:r w:rsidRPr="009D795B">
        <w:rPr>
          <w:rFonts w:ascii="Times New Roman" w:hAnsi="Times New Roman"/>
          <w:bCs/>
          <w:sz w:val="24"/>
          <w:szCs w:val="24"/>
        </w:rPr>
        <w:t xml:space="preserve">s </w:t>
      </w:r>
      <w:r w:rsidRPr="009D795B">
        <w:rPr>
          <w:rFonts w:ascii="Times New Roman" w:hAnsi="Times New Roman"/>
          <w:sz w:val="24"/>
          <w:szCs w:val="24"/>
        </w:rPr>
        <w:t>materiály týkající se práce v komisi. Jedná se o tyto dokumenty:</w:t>
      </w:r>
    </w:p>
    <w:p w:rsidR="009D795B" w:rsidRPr="009D795B" w:rsidRDefault="009D795B" w:rsidP="009D795B">
      <w:pPr>
        <w:numPr>
          <w:ilvl w:val="0"/>
          <w:numId w:val="12"/>
        </w:numPr>
        <w:jc w:val="both"/>
      </w:pPr>
      <w:r w:rsidRPr="009D795B">
        <w:t>Zásady pro poskytování dotací z rozpočtu Statutárního města Karlovy Vary;</w:t>
      </w:r>
    </w:p>
    <w:p w:rsidR="009D795B" w:rsidRPr="009D795B" w:rsidRDefault="009D795B" w:rsidP="009D795B">
      <w:pPr>
        <w:numPr>
          <w:ilvl w:val="0"/>
          <w:numId w:val="12"/>
        </w:numPr>
        <w:jc w:val="both"/>
      </w:pPr>
      <w:r w:rsidRPr="009D795B">
        <w:t>Jednací řád komisí Rady města Karlovy Vary.</w:t>
      </w:r>
    </w:p>
    <w:p w:rsidR="009D795B" w:rsidRDefault="009D795B" w:rsidP="009D795B">
      <w:pPr>
        <w:rPr>
          <w:b/>
          <w:bCs/>
          <w:u w:val="single"/>
        </w:rPr>
      </w:pPr>
    </w:p>
    <w:p w:rsidR="009D795B" w:rsidRDefault="009D795B" w:rsidP="009D795B">
      <w:pPr>
        <w:jc w:val="both"/>
      </w:pPr>
      <w:r>
        <w:t xml:space="preserve">Tyto dokumenty jsou zveřejněny v elektronické podobě na webových stránkách magistrátu města </w:t>
      </w:r>
      <w:hyperlink r:id="rId8" w:history="1">
        <w:r w:rsidRPr="00883A1C">
          <w:rPr>
            <w:rStyle w:val="Hypertextovodkaz"/>
          </w:rPr>
          <w:t>www.mmkv.cz</w:t>
        </w:r>
      </w:hyperlink>
      <w:r>
        <w:t>. Zde je také možno pod odkazem „Dotace“ nahlédnout do přehledů schválených dotací v jednotlivých dotačních titulech od roku 2011.</w:t>
      </w:r>
    </w:p>
    <w:p w:rsid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9D795B" w:rsidRP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A256E1" w:rsidRDefault="00A256E1" w:rsidP="00934913">
      <w:pPr>
        <w:pStyle w:val="Odstavecseseznamem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4838D9">
        <w:rPr>
          <w:rFonts w:ascii="Times New Roman" w:hAnsi="Times New Roman"/>
          <w:b/>
          <w:sz w:val="24"/>
          <w:szCs w:val="24"/>
        </w:rPr>
        <w:t xml:space="preserve">dne </w:t>
      </w:r>
      <w:r w:rsidR="00141335">
        <w:rPr>
          <w:rFonts w:ascii="Times New Roman" w:hAnsi="Times New Roman"/>
          <w:b/>
          <w:sz w:val="24"/>
          <w:szCs w:val="24"/>
        </w:rPr>
        <w:t>19.01.2023</w:t>
      </w:r>
      <w:r w:rsidR="004D2C93">
        <w:rPr>
          <w:rFonts w:ascii="Times New Roman" w:hAnsi="Times New Roman"/>
          <w:b/>
          <w:sz w:val="24"/>
          <w:szCs w:val="24"/>
        </w:rPr>
        <w:t xml:space="preserve"> od 15:00 hodin v zasedací místnosti v 5. patře budovy Magistrátu města Karlovy Vary</w:t>
      </w:r>
      <w:r w:rsidR="004838D9">
        <w:rPr>
          <w:rFonts w:ascii="Times New Roman" w:hAnsi="Times New Roman"/>
          <w:b/>
          <w:sz w:val="24"/>
          <w:szCs w:val="24"/>
        </w:rPr>
        <w:t xml:space="preserve">.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0D7C" w:rsidRDefault="00A80D7C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C412B" w:rsidRDefault="009C412B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41335" w:rsidRDefault="00141335" w:rsidP="00934913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A6C8F" w:rsidRDefault="009A6C8F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33358B" w:rsidRPr="0068163D" w:rsidRDefault="0033358B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141335">
        <w:t>12.01.2023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</w:p>
    <w:p w:rsidR="009D795B" w:rsidRDefault="009D795B" w:rsidP="00934913">
      <w:pPr>
        <w:tabs>
          <w:tab w:val="left" w:pos="6589"/>
        </w:tabs>
        <w:ind w:left="-426" w:right="-284"/>
      </w:pPr>
      <w:bookmarkStart w:id="0" w:name="_GoBack"/>
      <w:bookmarkEnd w:id="0"/>
    </w:p>
    <w:sectPr w:rsidR="009D795B" w:rsidSect="000A7F74">
      <w:footerReference w:type="default" r:id="rId9"/>
      <w:headerReference w:type="first" r:id="rId10"/>
      <w:footerReference w:type="first" r:id="rId11"/>
      <w:pgSz w:w="11906" w:h="16838"/>
      <w:pgMar w:top="709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35" w:rsidRDefault="00141335">
      <w:r>
        <w:separator/>
      </w:r>
    </w:p>
  </w:endnote>
  <w:endnote w:type="continuationSeparator" w:id="0">
    <w:p w:rsidR="00141335" w:rsidRDefault="0014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Default="0014133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D795B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D795B">
      <w:rPr>
        <w:b/>
        <w:noProof/>
      </w:rPr>
      <w:t>3</w:t>
    </w:r>
    <w:r>
      <w:rPr>
        <w:b/>
      </w:rPr>
      <w:fldChar w:fldCharType="end"/>
    </w:r>
  </w:p>
  <w:p w:rsidR="00141335" w:rsidRDefault="00141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Pr="007C14CE" w:rsidRDefault="00141335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35" w:rsidRDefault="00141335">
      <w:r>
        <w:separator/>
      </w:r>
    </w:p>
  </w:footnote>
  <w:footnote w:type="continuationSeparator" w:id="0">
    <w:p w:rsidR="00141335" w:rsidRDefault="0014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35" w:rsidRDefault="00141335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6EB7"/>
    <w:multiLevelType w:val="hybridMultilevel"/>
    <w:tmpl w:val="96D4D9A4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18"/>
  </w:num>
  <w:num w:numId="19">
    <w:abstractNumId w:val="10"/>
  </w:num>
  <w:num w:numId="20">
    <w:abstractNumId w:val="4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E2B382C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5A50-9F9B-44D4-B25C-F55045A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752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5</cp:revision>
  <cp:lastPrinted>2022-09-12T10:48:00Z</cp:lastPrinted>
  <dcterms:created xsi:type="dcterms:W3CDTF">2023-01-12T09:33:00Z</dcterms:created>
  <dcterms:modified xsi:type="dcterms:W3CDTF">2023-01-19T10:35:00Z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