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54" w:rsidRDefault="00530954" w:rsidP="00530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Úsekové měření rychlosti na silnici I/6 v dopravně rizikovém úseku Karlovy Vary – Olšová Vrata, v úseku km 108,04 – 112,30 obousměrně.</w:t>
      </w:r>
    </w:p>
    <w:p w:rsidR="00530954" w:rsidRDefault="00530954" w:rsidP="00530954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ustanovení § 79a zákona č. 361/2000 Sb., o provozu na pozemních komunikacích (zákon o silničním provozu), ve znění pozdějších předpisů mimo jiné plyne, že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46D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účelem zvýšení bezpečnosti provozu na pozemních komunikacích je policie a obecní policie oprávněna měřit rychlost vozidel.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</w:p>
    <w:p w:rsidR="00530954" w:rsidRDefault="00530954" w:rsidP="00530954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954" w:rsidRDefault="00530954" w:rsidP="005309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Měření rychlosti ve výše uvedeném úseku silnice I/6 provádí Policie České republiky, zjištěná podezření ze spáchání přestupku jsou oznamována příslušnému obecnímu úřadu obce s rozšířenou působností, kterým je v tomto případě Magistrát města Karlovy Vary.</w:t>
      </w:r>
    </w:p>
    <w:p w:rsidR="00530954" w:rsidRDefault="00530954" w:rsidP="0053095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Důvodem pro zavedení výše uvedeného úsekového měření rychlosti je zvýšení bezpečnosti silničního provozu v úseku častých dopravních nehod.</w:t>
      </w: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ustanovení § 18 odst. 3 zákona o silničním provozu mimo jiné plyne, že řidič motorového vozidla o maximální přípustné hmotnosti nepřevyšující 3 500 kg, vozidla základní složky integrovaného záchranného systému a autobusu smí jet mimo obec rychlostí nejvýše 90 km.h-1. Řidič jiného motorového vozidla smí jet rychlostí nejvýše 80 km.h-1.</w:t>
      </w: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Podle § 2 písm. b) zákona o silničním provozu </w:t>
      </w:r>
      <w:r w:rsidR="004724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>ro účely tohoto zákona provozovatel vozidla je vlastník nebo jiná osoba, která je jako provozovatel zapsána v registru silničních vozidel podle zvláštního právního předpisu nebo obdobné evidenci jiného státu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7246D">
        <w:rPr>
          <w:rFonts w:ascii="Times New Roman" w:hAnsi="Times New Roman" w:cs="Times New Roman"/>
          <w:sz w:val="24"/>
          <w:szCs w:val="24"/>
          <w:lang w:bidi="en-US"/>
        </w:rPr>
        <w:t>“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Zvláštním právním předpisem je zákon č. 56/2001 Sb., o podmínkách provozu vozidel na pozemních komunikacích.</w:t>
      </w:r>
    </w:p>
    <w:p w:rsidR="00530954" w:rsidRDefault="00530954" w:rsidP="0053095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30954" w:rsidRDefault="00530954" w:rsidP="0053095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 10 odst</w:t>
      </w:r>
      <w:r w:rsidR="0047246D">
        <w:rPr>
          <w:rFonts w:ascii="Times New Roman" w:hAnsi="Times New Roman" w:cs="Times New Roman"/>
          <w:sz w:val="24"/>
          <w:szCs w:val="24"/>
        </w:rPr>
        <w:t>. 3 zákona o silničním provozu „p</w:t>
      </w:r>
      <w:r>
        <w:rPr>
          <w:rFonts w:ascii="Times New Roman" w:hAnsi="Times New Roman" w:cs="Times New Roman"/>
          <w:i/>
          <w:sz w:val="24"/>
          <w:szCs w:val="24"/>
        </w:rPr>
        <w:t>rovozovatel vozidla zajistí, aby při užití vozidla na pozemní komunikaci byly dodržovány povinnosti řidiče a pravidla provozu na pozemních komunikacích stanovená tímto zákonem.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0954" w:rsidRDefault="00530954" w:rsidP="00530954">
      <w:pPr>
        <w:pStyle w:val="Odstavecseseznamem"/>
      </w:pPr>
    </w:p>
    <w:p w:rsidR="00530954" w:rsidRDefault="00530954" w:rsidP="0053095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§ 125f odst. 1 zákona o </w:t>
      </w:r>
      <w:r w:rsidR="0047246D">
        <w:rPr>
          <w:rFonts w:ascii="Times New Roman" w:hAnsi="Times New Roman" w:cs="Times New Roman"/>
          <w:sz w:val="24"/>
          <w:szCs w:val="24"/>
        </w:rPr>
        <w:t>silničním provozu stanoví, že  „</w:t>
      </w:r>
      <w:r>
        <w:rPr>
          <w:rFonts w:ascii="Times New Roman" w:hAnsi="Times New Roman" w:cs="Times New Roman"/>
          <w:i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 dopustí přestupku tím, že v rozporu s § 10 nezajistí, aby při užití vozidla na pozemní komunikaci byly dodržovány povinnosti řidiče a pravidla provozu na pozemních komunikacích stanovená tímto zákonem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4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54" w:rsidRDefault="00530954" w:rsidP="00530954">
      <w:pPr>
        <w:pStyle w:val="Odstavecseseznamem"/>
      </w:pPr>
    </w:p>
    <w:p w:rsidR="00530954" w:rsidRDefault="00530954" w:rsidP="00530954">
      <w:pPr>
        <w:pStyle w:val="Odstavecseseznamem"/>
        <w:jc w:val="both"/>
        <w:rPr>
          <w:i/>
        </w:rPr>
      </w:pPr>
      <w:r>
        <w:t>Podle § 125f odst</w:t>
      </w:r>
      <w:r w:rsidR="0047246D">
        <w:t>. 2 zákona o silničním provozu „</w:t>
      </w:r>
      <w:r>
        <w:rPr>
          <w:i/>
        </w:rPr>
        <w:t>provozovatel vozidla za přestupek podle odstavce 1 odpovídá, pokud</w:t>
      </w:r>
    </w:p>
    <w:p w:rsidR="00530954" w:rsidRDefault="00530954" w:rsidP="00530954">
      <w:pPr>
        <w:pStyle w:val="Odstavecseseznamem"/>
        <w:jc w:val="both"/>
        <w:rPr>
          <w:i/>
        </w:rPr>
      </w:pPr>
      <w:r>
        <w:rPr>
          <w:i/>
        </w:rPr>
        <w:t xml:space="preserve"> a) porušení pravidel bylo zjištěno prostřednictvím automatizovaného technického prostředku používaného bez obsluhy při dohledu na bezpečnost provozu na pozemních komunikacích nebo se jedná o neoprávněné zastavení nebo stání,</w:t>
      </w:r>
    </w:p>
    <w:p w:rsidR="00530954" w:rsidRDefault="00530954" w:rsidP="00530954">
      <w:pPr>
        <w:pStyle w:val="Odstavecseseznamem"/>
        <w:jc w:val="both"/>
        <w:rPr>
          <w:i/>
        </w:rPr>
      </w:pPr>
      <w:r>
        <w:rPr>
          <w:i/>
        </w:rPr>
        <w:t xml:space="preserve"> b) porušení povinností řidiče nebo pravidel provozu na pozemních komunikacích vykazuje znaky přestupku podle tohoto zákona a</w:t>
      </w:r>
    </w:p>
    <w:p w:rsidR="00530954" w:rsidRDefault="00530954" w:rsidP="00530954">
      <w:pPr>
        <w:pStyle w:val="Odstavecseseznamem"/>
        <w:jc w:val="both"/>
        <w:rPr>
          <w:i/>
        </w:rPr>
      </w:pPr>
      <w:r>
        <w:rPr>
          <w:i/>
        </w:rPr>
        <w:t xml:space="preserve"> c) porušení pravidel nemá za následek dopravní nehodu.</w:t>
      </w:r>
      <w:r w:rsidR="0047246D">
        <w:rPr>
          <w:i/>
        </w:rPr>
        <w:t>“</w:t>
      </w:r>
    </w:p>
    <w:p w:rsidR="00530954" w:rsidRDefault="00530954" w:rsidP="00530954">
      <w:pPr>
        <w:pStyle w:val="Odstavecseseznamem"/>
        <w:jc w:val="both"/>
      </w:pPr>
      <w:r>
        <w:rPr>
          <w:i/>
        </w:rPr>
        <w:t xml:space="preserve"> </w:t>
      </w:r>
    </w:p>
    <w:p w:rsidR="00530954" w:rsidRDefault="00530954" w:rsidP="00530954">
      <w:pPr>
        <w:pStyle w:val="Odstavecseseznamem"/>
        <w:jc w:val="both"/>
      </w:pPr>
      <w:r>
        <w:t>Podle § 125f odst. 3 zákona o silničním provozu se k odpovědnosti fyzické osoby za přestupek podle odstavce 1 nevyžaduje zavinění.</w:t>
      </w:r>
    </w:p>
    <w:p w:rsidR="00530954" w:rsidRDefault="00530954" w:rsidP="00530954">
      <w:pPr>
        <w:pStyle w:val="Odstavecseseznamem"/>
        <w:jc w:val="both"/>
      </w:pPr>
      <w:r>
        <w:rPr>
          <w:i/>
        </w:rPr>
        <w:t xml:space="preserve"> </w:t>
      </w:r>
    </w:p>
    <w:p w:rsidR="00530954" w:rsidRDefault="00530954" w:rsidP="00530954">
      <w:pPr>
        <w:pStyle w:val="Odstavecseseznamem"/>
        <w:jc w:val="both"/>
        <w:rPr>
          <w:i/>
        </w:rPr>
      </w:pPr>
      <w:r>
        <w:rPr>
          <w:i/>
        </w:rPr>
        <w:tab/>
      </w:r>
      <w:r>
        <w:t>Podle § 125f odst.</w:t>
      </w:r>
      <w:r w:rsidR="0047246D">
        <w:t> 4 zákona o silničním provozu  „</w:t>
      </w:r>
      <w:r>
        <w:rPr>
          <w:i/>
        </w:rPr>
        <w:t xml:space="preserve">za přestupek podle odstavce 1 lze uložit pokutu. Pro určení výše pokuty se použije rozmezí pokuty pro přestupek, jehož znaky </w:t>
      </w:r>
      <w:r>
        <w:rPr>
          <w:i/>
        </w:rPr>
        <w:lastRenderedPageBreak/>
        <w:t>porušení povinností řidiče nebo pravidel provozu na pozemních komunikacích vykazuje; pokuta však nepřevýší 10 000 Kč.</w:t>
      </w:r>
      <w:r w:rsidR="0047246D">
        <w:rPr>
          <w:i/>
        </w:rPr>
        <w:t>“</w:t>
      </w:r>
    </w:p>
    <w:p w:rsidR="00530954" w:rsidRDefault="00530954" w:rsidP="00530954">
      <w:pPr>
        <w:pStyle w:val="Odstavecseseznamem"/>
        <w:jc w:val="both"/>
        <w:rPr>
          <w:color w:val="FF0000"/>
        </w:rPr>
      </w:pPr>
    </w:p>
    <w:p w:rsidR="00530954" w:rsidRDefault="00530954" w:rsidP="00530954">
      <w:pPr>
        <w:spacing w:after="0" w:line="240" w:lineRule="auto"/>
        <w:ind w:firstLine="4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125f odst</w:t>
      </w:r>
      <w:r w:rsidR="0047246D">
        <w:rPr>
          <w:rFonts w:ascii="Times New Roman" w:hAnsi="Times New Roman" w:cs="Times New Roman"/>
          <w:sz w:val="24"/>
          <w:szCs w:val="24"/>
        </w:rPr>
        <w:t>. 5 zákona o silničním provozu „</w:t>
      </w:r>
      <w:r>
        <w:rPr>
          <w:rFonts w:ascii="Times New Roman" w:hAnsi="Times New Roman" w:cs="Times New Roman"/>
          <w:i/>
          <w:sz w:val="24"/>
          <w:szCs w:val="24"/>
        </w:rPr>
        <w:t>obecní úřad obce s rozšířenou působností přestupek podle odstavce 1 projedná, pouze pokud učinil nezbytné kroky ke zjištění pachatele přestupku, jehož znaky porušení povinností řidiče nebo pravidel provozu na pozemních komunikacích vykazuje, a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a) nezahájil řízení o přestupku a věc odložil, protože nezjistil skutečnosti odůvodňující zahájení řízení proti určité osobě, nebo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řízení o přestupku zastavil, protože obviněnému z přestupku nebylo spáchání skutku prokázáno.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954" w:rsidRDefault="00530954" w:rsidP="0053095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 125f odst</w:t>
      </w:r>
      <w:r w:rsidR="0047246D">
        <w:rPr>
          <w:rFonts w:ascii="Times New Roman" w:hAnsi="Times New Roman" w:cs="Times New Roman"/>
          <w:sz w:val="24"/>
          <w:szCs w:val="24"/>
        </w:rPr>
        <w:t>. 6 zákona o silničním provozu „p</w:t>
      </w:r>
      <w:r>
        <w:rPr>
          <w:rFonts w:ascii="Times New Roman" w:hAnsi="Times New Roman" w:cs="Times New Roman"/>
          <w:i/>
          <w:sz w:val="24"/>
          <w:szCs w:val="24"/>
        </w:rPr>
        <w:t>rovozovatel vozidla za přestupek podle odstavce 1 neodpovídá, jestliže prokáže, že v době před porušením povinnosti řidiče nebo pravidel provozu na pozemních komunikacích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a) bylo vozidlo, jehož je provozovatelem, odcizeno nebo byla odcizena jeho tabulka s přidělenou státní poznávací značkou, nebo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podal žádost o zápis změny provozovatele vozidla v registru silničních vozidel.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954" w:rsidRDefault="00530954" w:rsidP="0053095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Podle § 125h odst</w:t>
      </w:r>
      <w:r w:rsidR="0047246D">
        <w:rPr>
          <w:rFonts w:ascii="Times New Roman" w:hAnsi="Times New Roman" w:cs="Times New Roman"/>
          <w:sz w:val="24"/>
          <w:szCs w:val="24"/>
        </w:rPr>
        <w:t>. 1 zákona o silničním provozu „</w:t>
      </w:r>
      <w:r>
        <w:rPr>
          <w:rFonts w:ascii="Times New Roman" w:hAnsi="Times New Roman" w:cs="Times New Roman"/>
          <w:i/>
          <w:sz w:val="24"/>
          <w:szCs w:val="24"/>
        </w:rPr>
        <w:t xml:space="preserve">obecní úřad obce s rozšířenou působností bezodkladně po zjištění nebo oznámení přestupku vyzve provozovatele vozidla, s nímž došlo ke spáchání přestupku, k uhrazení určené částky, pokud 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jsou splněny podmínky podle § 125f odst. 2,  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totožnost řidiče vozidla není známa nebo není zřejmá z podkladu pro zahájení řízení o přestupku a 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 porušení je možné projednat uložením pokuty příkazem na místě.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0954" w:rsidRDefault="00530954" w:rsidP="0053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125h odst. 2 zákona o silničním provozu se určená částka</w:t>
      </w:r>
      <w:r w:rsidR="0047246D">
        <w:rPr>
          <w:rFonts w:ascii="Times New Roman" w:hAnsi="Times New Roman" w:cs="Times New Roman"/>
          <w:i/>
          <w:sz w:val="24"/>
          <w:szCs w:val="24"/>
        </w:rPr>
        <w:t xml:space="preserve"> „s</w:t>
      </w:r>
      <w:r>
        <w:rPr>
          <w:rFonts w:ascii="Times New Roman" w:hAnsi="Times New Roman" w:cs="Times New Roman"/>
          <w:i/>
          <w:sz w:val="24"/>
          <w:szCs w:val="24"/>
        </w:rPr>
        <w:t>tanoví ve stejné výši jako pokuta, kterou lze uložit příkazem na místě. Při stanovení určené částky obecní úřad obce s rozšířenou působností přihlédne k závažnosti porušení povinností řidiče nebo pravidel provozu na pozemních komunikacích.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 125h odst. 3 zákona o silničním provozu je určená částka splatná do 30 dnů ode dne doručení výzvy podle odstavce 1.</w:t>
      </w: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 125h odst</w:t>
      </w:r>
      <w:r w:rsidR="0047246D">
        <w:rPr>
          <w:rFonts w:ascii="Times New Roman" w:hAnsi="Times New Roman" w:cs="Times New Roman"/>
          <w:sz w:val="24"/>
          <w:szCs w:val="24"/>
        </w:rPr>
        <w:t>. 4 zákona o silničním provozu „</w:t>
      </w:r>
      <w:r>
        <w:rPr>
          <w:rFonts w:ascii="Times New Roman" w:hAnsi="Times New Roman" w:cs="Times New Roman"/>
          <w:i/>
          <w:sz w:val="24"/>
          <w:szCs w:val="24"/>
        </w:rPr>
        <w:t>výzva podle odstavce 1 musí obsahovat popis skutku s označením místa a času jeho spáchání, označení přestupku, jehož znaky skutek vykazuje, výši určené částky, datum splatnosti určené částky a další údaje nezbytné pro provedení platby a poučení podle odstavců 6 a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46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54" w:rsidRDefault="00530954" w:rsidP="0053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 125h odst</w:t>
      </w:r>
      <w:r w:rsidR="0047246D">
        <w:rPr>
          <w:rFonts w:ascii="Times New Roman" w:hAnsi="Times New Roman" w:cs="Times New Roman"/>
          <w:sz w:val="24"/>
          <w:szCs w:val="24"/>
        </w:rPr>
        <w:t>. 5 zákona o silničním provozu „</w:t>
      </w:r>
      <w:r>
        <w:rPr>
          <w:rFonts w:ascii="Times New Roman" w:hAnsi="Times New Roman" w:cs="Times New Roman"/>
          <w:i/>
          <w:sz w:val="24"/>
          <w:szCs w:val="24"/>
        </w:rPr>
        <w:t>je-li určená částka uhrazena nejpozději v den splatnosti, obecní úřad obce s rozšířenou působností věc odloží. V opačném případě obecní úřad s rozšířenou působností pokračuje v šetření přestupku. O tomto postupu poučí obecní úřad obce s rozšířenou působností provozovatele vozidla ve výzvě podle odstavce 1.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§ 125h odst. 6 zákona o silničním pro</w:t>
      </w:r>
      <w:r w:rsidR="0047246D">
        <w:rPr>
          <w:rFonts w:ascii="Times New Roman" w:hAnsi="Times New Roman" w:cs="Times New Roman"/>
          <w:sz w:val="24"/>
          <w:szCs w:val="24"/>
        </w:rPr>
        <w:t>vozu stanoví, že „</w:t>
      </w:r>
      <w:r>
        <w:rPr>
          <w:rFonts w:ascii="Times New Roman" w:hAnsi="Times New Roman" w:cs="Times New Roman"/>
          <w:i/>
          <w:sz w:val="24"/>
          <w:szCs w:val="24"/>
        </w:rPr>
        <w:t xml:space="preserve">neuhradí-li provozovatel vozidla určenou částku, může obecnímu úřadu obce s rozšířenou působností, který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jej vyzval k uhrazení určené částky, písemně sdělit údaje o totožnosti řidiče vozidla v době spáchání přestupku ve lhůtě podle odstavce 3. Toto sdělení se považuje za podání vysvětlení. O tomto postupu poučí obecní úřad obce s rozšířenou působností provozovatele vozidla ve výzvě podle odstavce 1.</w:t>
      </w:r>
      <w:r w:rsidR="0047246D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0954" w:rsidRDefault="00530954" w:rsidP="00530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954" w:rsidRDefault="00530954" w:rsidP="00530954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Ustanovení § 125h odst. 7 zákona o silničním provozu pak stanoví, že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4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je-li určená částka uhrazena po dni splatnosti, obecní úřad ji bezodkladně vrátí provozovateli vozidla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46D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514CA0" w:rsidRDefault="00514CA0"/>
    <w:sectPr w:rsidR="00514C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54" w:rsidRDefault="00530954" w:rsidP="00530954">
      <w:pPr>
        <w:spacing w:after="0" w:line="240" w:lineRule="auto"/>
      </w:pPr>
      <w:r>
        <w:separator/>
      </w:r>
    </w:p>
  </w:endnote>
  <w:endnote w:type="continuationSeparator" w:id="0">
    <w:p w:rsidR="00530954" w:rsidRDefault="00530954" w:rsidP="0053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81037"/>
      <w:docPartObj>
        <w:docPartGallery w:val="Page Numbers (Bottom of Page)"/>
        <w:docPartUnique/>
      </w:docPartObj>
    </w:sdtPr>
    <w:sdtEndPr/>
    <w:sdtContent>
      <w:p w:rsidR="00530954" w:rsidRDefault="0053095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6D">
          <w:rPr>
            <w:noProof/>
          </w:rPr>
          <w:t>1</w:t>
        </w:r>
        <w:r>
          <w:fldChar w:fldCharType="end"/>
        </w:r>
      </w:p>
    </w:sdtContent>
  </w:sdt>
  <w:p w:rsidR="00530954" w:rsidRDefault="00530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54" w:rsidRDefault="00530954" w:rsidP="00530954">
      <w:pPr>
        <w:spacing w:after="0" w:line="240" w:lineRule="auto"/>
      </w:pPr>
      <w:r>
        <w:separator/>
      </w:r>
    </w:p>
  </w:footnote>
  <w:footnote w:type="continuationSeparator" w:id="0">
    <w:p w:rsidR="00530954" w:rsidRDefault="00530954" w:rsidP="0053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4"/>
    <w:rsid w:val="0047246D"/>
    <w:rsid w:val="00514CA0"/>
    <w:rsid w:val="005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EB29"/>
  <w15:chartTrackingRefBased/>
  <w15:docId w15:val="{D3693EC0-0F6B-4503-9263-3F6DC71E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9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30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30954"/>
    <w:pPr>
      <w:spacing w:after="0" w:line="240" w:lineRule="auto"/>
      <w:ind w:firstLine="43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954"/>
  </w:style>
  <w:style w:type="paragraph" w:styleId="Zpat">
    <w:name w:val="footer"/>
    <w:basedOn w:val="Normln"/>
    <w:link w:val="ZpatChar"/>
    <w:uiPriority w:val="99"/>
    <w:unhideWhenUsed/>
    <w:rsid w:val="0053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Mašat Lubomír</dc:creator>
  <cp:keywords/>
  <dc:description/>
  <cp:lastModifiedBy>Mašat Lubomír</cp:lastModifiedBy>
  <cp:revision>2</cp:revision>
  <dcterms:created xsi:type="dcterms:W3CDTF">2022-04-19T06:08:00Z</dcterms:created>
  <dcterms:modified xsi:type="dcterms:W3CDTF">2022-04-19T07:04:00Z</dcterms:modified>
</cp:coreProperties>
</file>